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DE6" w14:textId="77777777" w:rsidR="00D05661" w:rsidRDefault="00D05661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5F75D7D5" w14:textId="6BA2CB10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B82054">
        <w:rPr>
          <w:rFonts w:ascii="Verdana" w:hAnsi="Verdana"/>
          <w:sz w:val="18"/>
          <w:szCs w:val="18"/>
        </w:rPr>
        <w:t>05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B82054">
        <w:rPr>
          <w:rFonts w:ascii="Verdana" w:hAnsi="Verdana"/>
          <w:sz w:val="18"/>
          <w:szCs w:val="18"/>
        </w:rPr>
        <w:t>março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6950FFC0" w:rsidR="00E61C7C" w:rsidRDefault="00B82054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B82054">
        <w:rPr>
          <w:rFonts w:ascii="Verdana" w:hAnsi="Verdana"/>
          <w:b/>
          <w:bCs/>
          <w:sz w:val="18"/>
          <w:szCs w:val="18"/>
        </w:rPr>
        <w:t>BELGO BEKAERT</w:t>
      </w:r>
    </w:p>
    <w:p w14:paraId="637053AC" w14:textId="77777777" w:rsidR="006B0DA2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1C3BDBA9" w14:textId="17DB2D7C" w:rsidR="00A72C3C" w:rsidRPr="006B0DA2" w:rsidRDefault="006B0DA2" w:rsidP="00B4369C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 w:rsidRPr="006B0DA2">
        <w:rPr>
          <w:rFonts w:ascii="Verdana" w:hAnsi="Verdana"/>
          <w:iCs/>
          <w:sz w:val="18"/>
          <w:szCs w:val="18"/>
        </w:rPr>
        <w:t>Avenida Sudene, n.° 180 Feira de Santana (Ba) CEP: 44.010</w:t>
      </w:r>
      <w:r w:rsidRPr="006B0DA2">
        <w:rPr>
          <w:rFonts w:ascii="Cambria Math" w:hAnsi="Cambria Math" w:cs="Cambria Math"/>
          <w:iCs/>
          <w:sz w:val="18"/>
          <w:szCs w:val="18"/>
        </w:rPr>
        <w:t>‐</w:t>
      </w:r>
      <w:r w:rsidRPr="006B0DA2">
        <w:rPr>
          <w:rFonts w:ascii="Verdana" w:hAnsi="Verdana"/>
          <w:iCs/>
          <w:sz w:val="18"/>
          <w:szCs w:val="18"/>
        </w:rPr>
        <w:t>025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6746CF0A" w:rsidR="00E61C7C" w:rsidRPr="00C43C32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</w:rPr>
      </w:pPr>
      <w:r w:rsidRPr="006B0DA2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6B0DA2">
        <w:rPr>
          <w:rFonts w:ascii="Verdana" w:hAnsi="Verdana"/>
          <w:bCs/>
          <w:sz w:val="18"/>
          <w:szCs w:val="18"/>
          <w:u w:val="single"/>
        </w:rPr>
        <w:t>t</w:t>
      </w:r>
      <w:r w:rsidRPr="00C43C32">
        <w:rPr>
          <w:rFonts w:ascii="Verdana" w:hAnsi="Verdana"/>
          <w:b w:val="0"/>
          <w:sz w:val="18"/>
          <w:szCs w:val="18"/>
          <w:u w:val="single"/>
        </w:rPr>
        <w:t>.:</w:t>
      </w:r>
      <w:r w:rsidR="00B82054">
        <w:rPr>
          <w:rFonts w:ascii="Verdana" w:hAnsi="Verdana"/>
          <w:b w:val="0"/>
          <w:sz w:val="18"/>
          <w:szCs w:val="18"/>
          <w:u w:val="single"/>
        </w:rPr>
        <w:t xml:space="preserve"> Marcos Bezerra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6B0DA2">
        <w:rPr>
          <w:rFonts w:ascii="Verdana" w:hAnsi="Verdana"/>
          <w:bCs/>
          <w:sz w:val="18"/>
          <w:szCs w:val="18"/>
          <w:u w:val="single"/>
        </w:rPr>
        <w:t>Ref.:</w:t>
      </w:r>
      <w:r w:rsidR="00B77540" w:rsidRPr="00B77540">
        <w:rPr>
          <w:u w:val="single"/>
        </w:rPr>
        <w:t xml:space="preserve"> </w:t>
      </w:r>
      <w:r w:rsidR="00B82054" w:rsidRPr="00B82054">
        <w:rPr>
          <w:rFonts w:ascii="Verdana" w:hAnsi="Verdana"/>
          <w:b w:val="0"/>
          <w:sz w:val="18"/>
          <w:szCs w:val="18"/>
          <w:u w:val="single"/>
        </w:rPr>
        <w:t>Prestação de Serviço de Manutenção no Refratário - Forno de Zinco linha 313 – GFAC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5054BB46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FA76A7">
        <w:rPr>
          <w:rFonts w:ascii="Verdana" w:hAnsi="Verdana"/>
          <w:b/>
          <w:sz w:val="18"/>
          <w:szCs w:val="18"/>
        </w:rPr>
        <w:t>130</w:t>
      </w:r>
      <w:r w:rsidR="00B82054">
        <w:rPr>
          <w:rFonts w:ascii="Verdana" w:hAnsi="Verdana"/>
          <w:b/>
          <w:sz w:val="18"/>
          <w:szCs w:val="18"/>
        </w:rPr>
        <w:t>8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2C6E24">
        <w:rPr>
          <w:rFonts w:ascii="Verdana" w:hAnsi="Verdana"/>
          <w:b/>
          <w:sz w:val="18"/>
          <w:szCs w:val="18"/>
        </w:rPr>
        <w:t xml:space="preserve"> rev.01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31CF9671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A presente proposta tem como objetivo a prestação de serviços de aplicação de </w:t>
      </w:r>
      <w:r w:rsidR="00B82054">
        <w:rPr>
          <w:rFonts w:ascii="Verdana" w:hAnsi="Verdana"/>
          <w:sz w:val="18"/>
          <w:szCs w:val="18"/>
        </w:rPr>
        <w:t xml:space="preserve">refratário no </w:t>
      </w:r>
      <w:r w:rsidR="00B82054" w:rsidRPr="00B82054">
        <w:rPr>
          <w:rFonts w:ascii="Verdana" w:hAnsi="Verdana"/>
          <w:sz w:val="18"/>
          <w:szCs w:val="18"/>
          <w:u w:val="single"/>
        </w:rPr>
        <w:t>Forno de Zinco linha 313</w:t>
      </w:r>
      <w:r w:rsidR="00B82054">
        <w:rPr>
          <w:rFonts w:ascii="Verdana" w:hAnsi="Verdana"/>
          <w:sz w:val="18"/>
          <w:szCs w:val="18"/>
          <w:u w:val="single"/>
        </w:rPr>
        <w:t>,</w:t>
      </w:r>
      <w:r w:rsidR="009323B4" w:rsidRPr="009323B4">
        <w:rPr>
          <w:rFonts w:ascii="Verdana" w:hAnsi="Verdana"/>
          <w:sz w:val="18"/>
          <w:szCs w:val="18"/>
        </w:rPr>
        <w:t xml:space="preserve"> na fábrica da </w:t>
      </w:r>
      <w:r w:rsidR="00B82054">
        <w:rPr>
          <w:rFonts w:ascii="Verdana" w:hAnsi="Verdana"/>
          <w:sz w:val="18"/>
          <w:szCs w:val="18"/>
        </w:rPr>
        <w:t>Belgo Bekaert</w:t>
      </w:r>
      <w:r w:rsidR="00B77540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em </w:t>
      </w:r>
      <w:r w:rsidR="00B82054">
        <w:rPr>
          <w:rFonts w:ascii="Verdana" w:hAnsi="Verdana"/>
          <w:sz w:val="18"/>
          <w:szCs w:val="18"/>
        </w:rPr>
        <w:t>Feira de Santana</w:t>
      </w:r>
      <w:r w:rsidR="009323B4" w:rsidRPr="009323B4">
        <w:rPr>
          <w:rFonts w:ascii="Verdana" w:hAnsi="Verdana"/>
          <w:sz w:val="18"/>
          <w:szCs w:val="18"/>
        </w:rPr>
        <w:t xml:space="preserve"> - </w:t>
      </w:r>
      <w:r w:rsidR="00B77540">
        <w:rPr>
          <w:rFonts w:ascii="Verdana" w:hAnsi="Verdana"/>
          <w:sz w:val="18"/>
          <w:szCs w:val="18"/>
        </w:rPr>
        <w:t>BA</w:t>
      </w:r>
      <w:r w:rsidR="009323B4" w:rsidRPr="009323B4">
        <w:rPr>
          <w:rFonts w:ascii="Verdana" w:hAnsi="Verdana"/>
          <w:sz w:val="18"/>
          <w:szCs w:val="18"/>
        </w:rPr>
        <w:t>. O escopo inclui o fornecimento de todo o material necessário para a aplicação.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8894E45" w14:textId="77777777" w:rsidR="00644349" w:rsidRDefault="006B0DA2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 w:rsidRPr="006B0DA2">
        <w:rPr>
          <w:rFonts w:ascii="Verdana" w:hAnsi="Verdana"/>
          <w:noProof/>
          <w:sz w:val="18"/>
          <w:szCs w:val="18"/>
        </w:rPr>
        <w:t>Demolição, aplicação e fornecimento de todos os materiais de aplicação necessários para execução dos serviços, tais como:</w:t>
      </w:r>
    </w:p>
    <w:p w14:paraId="301A8F03" w14:textId="650D03E8" w:rsidR="006B0DA2" w:rsidRPr="006B0DA2" w:rsidRDefault="006B0DA2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</w:p>
    <w:tbl>
      <w:tblPr>
        <w:tblW w:w="900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960"/>
        <w:gridCol w:w="1480"/>
      </w:tblGrid>
      <w:tr w:rsidR="00BF7B16" w:rsidRPr="00BF7B16" w14:paraId="1FB0BFB5" w14:textId="77777777" w:rsidTr="00BF7B16">
        <w:trPr>
          <w:trHeight w:val="492"/>
        </w:trPr>
        <w:tc>
          <w:tcPr>
            <w:tcW w:w="556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5822E79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9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E3DB623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0816948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</w:tr>
      <w:tr w:rsidR="00BF7B16" w:rsidRPr="00BF7B16" w14:paraId="71FEAE20" w14:textId="77777777" w:rsidTr="00BF7B16">
        <w:trPr>
          <w:trHeight w:val="492"/>
        </w:trPr>
        <w:tc>
          <w:tcPr>
            <w:tcW w:w="55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B74058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Tijolos Refratários Paralelos (229 x 114 x 76 com 50% Al203).</w:t>
            </w:r>
          </w:p>
        </w:tc>
        <w:tc>
          <w:tcPr>
            <w:tcW w:w="19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C55A6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und.</w:t>
            </w:r>
          </w:p>
        </w:tc>
        <w:tc>
          <w:tcPr>
            <w:tcW w:w="14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DE8771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BF7B16" w:rsidRPr="00BF7B16" w14:paraId="5704D9A5" w14:textId="77777777" w:rsidTr="00BF7B16">
        <w:trPr>
          <w:trHeight w:val="492"/>
        </w:trPr>
        <w:tc>
          <w:tcPr>
            <w:tcW w:w="55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AE4AE" w14:textId="75FDC83D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Concreto Refratário Denso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D3C625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55899" w14:textId="3A064636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8784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BF7B16" w:rsidRPr="00BF7B16" w14:paraId="6AEBCD38" w14:textId="77777777" w:rsidTr="00BF7B16">
        <w:trPr>
          <w:trHeight w:val="492"/>
        </w:trPr>
        <w:tc>
          <w:tcPr>
            <w:tcW w:w="55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1E76B7" w14:textId="56A0E854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Argamassa Refratári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BD3A46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716993" w14:textId="77777777" w:rsidR="00BF7B16" w:rsidRPr="00BF7B16" w:rsidRDefault="00BF7B16" w:rsidP="00BF7B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B16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</w:tr>
    </w:tbl>
    <w:p w14:paraId="1C8EE1E9" w14:textId="5C540617" w:rsidR="00794819" w:rsidRDefault="00794819" w:rsidP="00B82054">
      <w:pPr>
        <w:keepNext/>
        <w:keepLines/>
        <w:widowControl w:val="0"/>
        <w:spacing w:line="360" w:lineRule="auto"/>
        <w:rPr>
          <w:rFonts w:ascii="Verdana" w:hAnsi="Verdana"/>
          <w:noProof/>
          <w:sz w:val="18"/>
          <w:szCs w:val="18"/>
        </w:rPr>
      </w:pPr>
    </w:p>
    <w:p w14:paraId="6D51DB23" w14:textId="7850CE97" w:rsidR="006B0DA2" w:rsidRDefault="006B0DA2" w:rsidP="00B82054">
      <w:pPr>
        <w:keepNext/>
        <w:keepLines/>
        <w:widowControl w:val="0"/>
        <w:spacing w:line="360" w:lineRule="auto"/>
        <w:rPr>
          <w:rFonts w:ascii="Verdana" w:hAnsi="Verdana"/>
          <w:noProof/>
          <w:sz w:val="18"/>
          <w:szCs w:val="18"/>
        </w:rPr>
      </w:pPr>
    </w:p>
    <w:p w14:paraId="4F1260E1" w14:textId="77777777" w:rsidR="006B0DA2" w:rsidRDefault="006B0DA2" w:rsidP="00B82054">
      <w:pPr>
        <w:keepNext/>
        <w:keepLines/>
        <w:widowControl w:val="0"/>
        <w:spacing w:line="360" w:lineRule="auto"/>
        <w:rPr>
          <w:rFonts w:ascii="Verdana" w:hAnsi="Verdana"/>
          <w:sz w:val="18"/>
          <w:szCs w:val="18"/>
        </w:rPr>
      </w:pP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lastRenderedPageBreak/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lastRenderedPageBreak/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0E91C57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09508C52" w14:textId="0C807024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e instalação de ancoragens caso necessário;</w:t>
      </w:r>
    </w:p>
    <w:p w14:paraId="110E44A3" w14:textId="71CD4E32" w:rsidR="00C24B52" w:rsidRDefault="00C24B52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6C3DD171" w14:textId="6171C8C1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Apoio com Munck, máquina de carga e</w:t>
      </w:r>
      <w:r w:rsidR="00BF7B16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ou empilhadeira para movimentação de material;</w:t>
      </w:r>
    </w:p>
    <w:p w14:paraId="60F6A964" w14:textId="77777777" w:rsidR="0045309F" w:rsidRDefault="004530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5E025E0E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trabalhos serão executados em </w:t>
      </w:r>
      <w:r w:rsidR="0045309F">
        <w:rPr>
          <w:rFonts w:ascii="Verdana" w:hAnsi="Verdana" w:cs="Calibri"/>
          <w:sz w:val="18"/>
          <w:szCs w:val="18"/>
        </w:rPr>
        <w:t>2 turnos</w:t>
      </w:r>
      <w:r w:rsidR="00740869">
        <w:rPr>
          <w:rFonts w:ascii="Verdana" w:hAnsi="Verdana" w:cs="Calibri"/>
          <w:sz w:val="18"/>
          <w:szCs w:val="18"/>
        </w:rPr>
        <w:t xml:space="preserve"> de 10h x 10h</w:t>
      </w:r>
      <w:r w:rsidR="00730B19">
        <w:rPr>
          <w:rFonts w:ascii="Verdana" w:hAnsi="Verdana" w:cs="Calibri"/>
          <w:sz w:val="18"/>
          <w:szCs w:val="18"/>
        </w:rPr>
        <w:t>(Sendo</w:t>
      </w:r>
      <w:r w:rsidR="00730B19">
        <w:rPr>
          <w:rFonts w:ascii="Verdana" w:hAnsi="Verdana" w:cs="Calibri"/>
          <w:sz w:val="18"/>
          <w:szCs w:val="18"/>
        </w:rPr>
        <w:t xml:space="preserve"> 02 horas extras)  Segunda-feira a Sexta-feira 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3627912D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B905368" w14:textId="77777777" w:rsidR="009323B4" w:rsidRDefault="009323B4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49B4857C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2D71C715" w14:textId="77777777" w:rsidR="00BF7B16" w:rsidRDefault="00BF7B16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0F813384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644349">
        <w:rPr>
          <w:rFonts w:ascii="Verdana" w:hAnsi="Verdana" w:cs="Calibri"/>
          <w:sz w:val="18"/>
          <w:szCs w:val="18"/>
        </w:rPr>
        <w:t>02 (dois)</w:t>
      </w:r>
      <w:r w:rsidR="00486DD4" w:rsidRPr="00486DD4">
        <w:rPr>
          <w:rFonts w:ascii="Verdana" w:hAnsi="Verdana" w:cs="Calibri"/>
          <w:sz w:val="18"/>
          <w:szCs w:val="18"/>
        </w:rPr>
        <w:t xml:space="preserve"> dias trabalhados</w:t>
      </w:r>
      <w:r w:rsidR="00644349">
        <w:rPr>
          <w:rFonts w:ascii="Verdana" w:hAnsi="Verdana" w:cs="Calibri"/>
          <w:sz w:val="18"/>
          <w:szCs w:val="18"/>
        </w:rPr>
        <w:t xml:space="preserve"> em dois (dois) turnos</w:t>
      </w:r>
      <w:r>
        <w:rPr>
          <w:rFonts w:ascii="Verdana" w:hAnsi="Verdana" w:cs="Calibri"/>
          <w:sz w:val="18"/>
          <w:szCs w:val="18"/>
        </w:rPr>
        <w:t>.</w:t>
      </w:r>
    </w:p>
    <w:p w14:paraId="634FB2A0" w14:textId="43CA9184" w:rsidR="00730B19" w:rsidRPr="00BB103C" w:rsidRDefault="00730B19" w:rsidP="00730B19">
      <w:pPr>
        <w:jc w:val="both"/>
        <w:rPr>
          <w:rFonts w:ascii="Verdana" w:hAnsi="Verdana" w:cs="Calibri"/>
          <w:b/>
          <w:bCs/>
          <w:sz w:val="18"/>
          <w:szCs w:val="18"/>
        </w:rPr>
      </w:pPr>
      <w:r w:rsidRPr="00BB103C">
        <w:rPr>
          <w:rFonts w:ascii="Verdana" w:hAnsi="Verdana" w:cs="Calibri"/>
          <w:b/>
          <w:bCs/>
          <w:sz w:val="18"/>
          <w:szCs w:val="18"/>
        </w:rPr>
        <w:t xml:space="preserve">Equipe </w:t>
      </w:r>
      <w:r w:rsidR="00BB103C" w:rsidRPr="00BB103C">
        <w:rPr>
          <w:rFonts w:ascii="Verdana" w:hAnsi="Verdana" w:cs="Calibri"/>
          <w:b/>
          <w:bCs/>
          <w:sz w:val="18"/>
          <w:szCs w:val="18"/>
        </w:rPr>
        <w:t>composta:</w:t>
      </w:r>
    </w:p>
    <w:p w14:paraId="7736402E" w14:textId="77777777" w:rsid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</w:p>
    <w:p w14:paraId="47F6B673" w14:textId="7DCD337E" w:rsid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08 Refratarista</w:t>
      </w:r>
      <w:r w:rsidR="00BB103C">
        <w:rPr>
          <w:rFonts w:ascii="Verdana" w:hAnsi="Verdana" w:cs="Calibri"/>
          <w:sz w:val="18"/>
          <w:szCs w:val="18"/>
        </w:rPr>
        <w:t xml:space="preserve"> </w:t>
      </w:r>
    </w:p>
    <w:p w14:paraId="0384828A" w14:textId="7749094D" w:rsid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</w:p>
    <w:p w14:paraId="0D909684" w14:textId="5EC22DC5" w:rsid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  <w:r w:rsidRPr="00730B19">
        <w:rPr>
          <w:rFonts w:ascii="Verdana" w:hAnsi="Verdana" w:cs="Calibri"/>
          <w:sz w:val="18"/>
          <w:szCs w:val="18"/>
        </w:rPr>
        <w:t xml:space="preserve">01 Encarregado </w:t>
      </w:r>
    </w:p>
    <w:p w14:paraId="5A62D028" w14:textId="77777777" w:rsidR="00730B19" w:rsidRP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</w:p>
    <w:p w14:paraId="7EEB0A22" w14:textId="77777777" w:rsidR="00730B19" w:rsidRP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  <w:r w:rsidRPr="00730B19">
        <w:rPr>
          <w:rFonts w:ascii="Verdana" w:hAnsi="Verdana" w:cs="Calibri"/>
          <w:sz w:val="18"/>
          <w:szCs w:val="18"/>
        </w:rPr>
        <w:t>01 Supervisor</w:t>
      </w:r>
    </w:p>
    <w:p w14:paraId="6AA1FC0F" w14:textId="4D3D3AF0" w:rsidR="00730B19" w:rsidRDefault="00730B19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410AD5B1" w14:textId="57B4AC3C" w:rsidR="00BB103C" w:rsidRDefault="00BB103C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494057D5" w14:textId="44765EA5" w:rsidR="00BB103C" w:rsidRDefault="00BB103C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0C19B8BC" w14:textId="51D0C123" w:rsidR="00BB103C" w:rsidRDefault="00BB103C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508E486F" w14:textId="7D7DB9AA" w:rsidR="00BB103C" w:rsidRDefault="00BB103C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5B48ABD0" w14:textId="77777777" w:rsidR="00BB103C" w:rsidRDefault="00BB103C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73192037" w14:textId="77777777" w:rsidR="002A45F2" w:rsidRDefault="002A45F2" w:rsidP="002A45F2">
      <w:pPr>
        <w:keepNext/>
        <w:keepLines/>
        <w:widowControl w:val="0"/>
        <w:spacing w:line="360" w:lineRule="auto"/>
        <w:ind w:left="76" w:firstLine="284"/>
        <w:jc w:val="both"/>
        <w:rPr>
          <w:rFonts w:ascii="Verdana" w:hAnsi="Verdana"/>
          <w:b/>
          <w:sz w:val="18"/>
          <w:szCs w:val="18"/>
        </w:rPr>
      </w:pPr>
    </w:p>
    <w:p w14:paraId="5FB9144A" w14:textId="34B19735" w:rsidR="002A3771" w:rsidRDefault="006A4D5E" w:rsidP="0014098C">
      <w:pPr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>será de</w:t>
      </w:r>
      <w:r w:rsidR="00407073">
        <w:t xml:space="preserve"> </w:t>
      </w:r>
      <w:r w:rsidR="00407073" w:rsidRPr="00407073">
        <w:rPr>
          <w:rFonts w:ascii="Verdana" w:hAnsi="Verdana" w:cs="Calibri"/>
          <w:b/>
          <w:bCs/>
          <w:sz w:val="18"/>
          <w:szCs w:val="18"/>
        </w:rPr>
        <w:t>R$ 1</w:t>
      </w:r>
      <w:r w:rsidR="00D05C78">
        <w:rPr>
          <w:rFonts w:ascii="Verdana" w:hAnsi="Verdana" w:cs="Calibri"/>
          <w:b/>
          <w:bCs/>
          <w:sz w:val="18"/>
          <w:szCs w:val="18"/>
        </w:rPr>
        <w:t>08</w:t>
      </w:r>
      <w:r w:rsidR="00407073" w:rsidRPr="00407073">
        <w:rPr>
          <w:rFonts w:ascii="Verdana" w:hAnsi="Verdana" w:cs="Calibri"/>
          <w:b/>
          <w:bCs/>
          <w:sz w:val="18"/>
          <w:szCs w:val="18"/>
        </w:rPr>
        <w:t>.</w:t>
      </w:r>
      <w:r w:rsidR="00644349">
        <w:rPr>
          <w:rFonts w:ascii="Verdana" w:hAnsi="Verdana" w:cs="Calibri"/>
          <w:b/>
          <w:bCs/>
          <w:sz w:val="18"/>
          <w:szCs w:val="18"/>
        </w:rPr>
        <w:t>000</w:t>
      </w:r>
      <w:r w:rsidR="00407073" w:rsidRPr="00407073">
        <w:rPr>
          <w:rFonts w:ascii="Verdana" w:hAnsi="Verdana" w:cs="Calibri"/>
          <w:b/>
          <w:bCs/>
          <w:sz w:val="18"/>
          <w:szCs w:val="18"/>
        </w:rPr>
        <w:t>,</w:t>
      </w:r>
      <w:r w:rsidR="00644349">
        <w:rPr>
          <w:rFonts w:ascii="Verdana" w:hAnsi="Verdana" w:cs="Calibri"/>
          <w:b/>
          <w:bCs/>
          <w:sz w:val="18"/>
          <w:szCs w:val="18"/>
        </w:rPr>
        <w:t>00</w:t>
      </w:r>
      <w:r w:rsidR="0014098C" w:rsidRPr="0014098C">
        <w:rPr>
          <w:rFonts w:ascii="Arial" w:hAnsi="Arial" w:cs="Arial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644349" w:rsidRPr="00644349">
        <w:rPr>
          <w:rFonts w:ascii="Verdana" w:hAnsi="Verdana" w:cs="Calibri"/>
          <w:sz w:val="18"/>
          <w:szCs w:val="18"/>
        </w:rPr>
        <w:t xml:space="preserve">cento e </w:t>
      </w:r>
      <w:r w:rsidR="00BF7B16">
        <w:rPr>
          <w:rFonts w:ascii="Verdana" w:hAnsi="Verdana" w:cs="Calibri"/>
          <w:sz w:val="18"/>
          <w:szCs w:val="18"/>
        </w:rPr>
        <w:t>oito</w:t>
      </w:r>
      <w:r w:rsidR="00644349" w:rsidRPr="00644349">
        <w:rPr>
          <w:rFonts w:ascii="Verdana" w:hAnsi="Verdana" w:cs="Calibri"/>
          <w:sz w:val="18"/>
          <w:szCs w:val="18"/>
        </w:rPr>
        <w:t xml:space="preserve"> mil reais</w:t>
      </w:r>
      <w:r w:rsidR="00CD3C36">
        <w:rPr>
          <w:rFonts w:ascii="Verdana" w:hAnsi="Verdana" w:cs="Calibri"/>
          <w:sz w:val="18"/>
          <w:szCs w:val="18"/>
        </w:rPr>
        <w:t>)</w:t>
      </w:r>
      <w:r w:rsidR="0014098C"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 xml:space="preserve"> </w:t>
      </w:r>
    </w:p>
    <w:p w14:paraId="1C02A4AC" w14:textId="5559E9E6" w:rsidR="00A04C8A" w:rsidRDefault="00A04C8A" w:rsidP="0014098C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Conforme </w:t>
      </w:r>
      <w:r w:rsidR="002B1ABB">
        <w:rPr>
          <w:rFonts w:ascii="Verdana" w:hAnsi="Verdana" w:cs="Calibri"/>
          <w:sz w:val="18"/>
          <w:szCs w:val="18"/>
        </w:rPr>
        <w:t>descrição</w:t>
      </w:r>
      <w:r>
        <w:rPr>
          <w:rFonts w:ascii="Verdana" w:hAnsi="Verdana" w:cs="Calibri"/>
          <w:sz w:val="18"/>
          <w:szCs w:val="18"/>
        </w:rPr>
        <w:t xml:space="preserve"> abaixo:</w:t>
      </w:r>
    </w:p>
    <w:p w14:paraId="107BF7B9" w14:textId="7EDB280E" w:rsidR="00A04C8A" w:rsidRDefault="00A04C8A" w:rsidP="0014098C">
      <w:pPr>
        <w:jc w:val="both"/>
        <w:rPr>
          <w:rFonts w:ascii="Verdana" w:hAnsi="Verdana" w:cs="Calibri"/>
          <w:sz w:val="18"/>
          <w:szCs w:val="18"/>
        </w:rPr>
      </w:pPr>
    </w:p>
    <w:p w14:paraId="389C959A" w14:textId="4FEC8156" w:rsidR="00A04C8A" w:rsidRDefault="00A04C8A" w:rsidP="0014098C">
      <w:pPr>
        <w:jc w:val="both"/>
        <w:rPr>
          <w:rFonts w:ascii="Verdana" w:hAnsi="Verdana" w:cs="Calibri"/>
          <w:sz w:val="18"/>
          <w:szCs w:val="18"/>
        </w:rPr>
      </w:pPr>
      <w:r w:rsidRPr="00A04C8A">
        <w:drawing>
          <wp:inline distT="0" distB="0" distL="0" distR="0" wp14:anchorId="193FD61B" wp14:editId="1B3ADAFA">
            <wp:extent cx="6030595" cy="789940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8D215" w14:textId="6A23F9CD" w:rsidR="00730B19" w:rsidRDefault="00730B19" w:rsidP="0014098C">
      <w:pPr>
        <w:jc w:val="both"/>
        <w:rPr>
          <w:rFonts w:ascii="Verdana" w:hAnsi="Verdana" w:cs="Calibri"/>
          <w:sz w:val="18"/>
          <w:szCs w:val="18"/>
        </w:rPr>
      </w:pPr>
    </w:p>
    <w:p w14:paraId="297E8E15" w14:textId="0D1CAEF7" w:rsidR="002A45F2" w:rsidRDefault="002A45F2" w:rsidP="0014098C">
      <w:pPr>
        <w:jc w:val="both"/>
        <w:rPr>
          <w:rFonts w:ascii="Verdana" w:hAnsi="Verdana" w:cs="Calibri"/>
          <w:sz w:val="18"/>
          <w:szCs w:val="18"/>
        </w:rPr>
      </w:pPr>
    </w:p>
    <w:p w14:paraId="33CAF1AC" w14:textId="774AA9F2" w:rsidR="002A45F2" w:rsidRDefault="002A45F2" w:rsidP="0014098C">
      <w:pPr>
        <w:jc w:val="both"/>
        <w:rPr>
          <w:rFonts w:ascii="Verdana" w:hAnsi="Verdana" w:cs="Calibri"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1E36966B" w:rsidR="00874683" w:rsidRPr="00874683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Téc.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9"/>
      <w:footerReference w:type="default" r:id="rId10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02698967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6"/>
  </w:num>
  <w:num w:numId="4">
    <w:abstractNumId w:val="26"/>
  </w:num>
  <w:num w:numId="5">
    <w:abstractNumId w:val="36"/>
  </w:num>
  <w:num w:numId="6">
    <w:abstractNumId w:val="5"/>
  </w:num>
  <w:num w:numId="7">
    <w:abstractNumId w:val="19"/>
  </w:num>
  <w:num w:numId="8">
    <w:abstractNumId w:val="23"/>
  </w:num>
  <w:num w:numId="9">
    <w:abstractNumId w:val="37"/>
  </w:num>
  <w:num w:numId="10">
    <w:abstractNumId w:val="3"/>
  </w:num>
  <w:num w:numId="11">
    <w:abstractNumId w:val="16"/>
  </w:num>
  <w:num w:numId="12">
    <w:abstractNumId w:val="9"/>
  </w:num>
  <w:num w:numId="13">
    <w:abstractNumId w:val="10"/>
  </w:num>
  <w:num w:numId="14">
    <w:abstractNumId w:val="11"/>
  </w:num>
  <w:num w:numId="15">
    <w:abstractNumId w:val="1"/>
  </w:num>
  <w:num w:numId="16">
    <w:abstractNumId w:val="28"/>
  </w:num>
  <w:num w:numId="17">
    <w:abstractNumId w:val="8"/>
  </w:num>
  <w:num w:numId="18">
    <w:abstractNumId w:val="21"/>
  </w:num>
  <w:num w:numId="19">
    <w:abstractNumId w:val="4"/>
  </w:num>
  <w:num w:numId="20">
    <w:abstractNumId w:val="30"/>
  </w:num>
  <w:num w:numId="21">
    <w:abstractNumId w:val="35"/>
  </w:num>
  <w:num w:numId="22">
    <w:abstractNumId w:val="17"/>
  </w:num>
  <w:num w:numId="23">
    <w:abstractNumId w:val="39"/>
  </w:num>
  <w:num w:numId="24">
    <w:abstractNumId w:val="38"/>
  </w:num>
  <w:num w:numId="25">
    <w:abstractNumId w:val="31"/>
  </w:num>
  <w:num w:numId="26">
    <w:abstractNumId w:val="24"/>
  </w:num>
  <w:num w:numId="27">
    <w:abstractNumId w:val="29"/>
  </w:num>
  <w:num w:numId="28">
    <w:abstractNumId w:val="15"/>
  </w:num>
  <w:num w:numId="29">
    <w:abstractNumId w:val="20"/>
  </w:num>
  <w:num w:numId="30">
    <w:abstractNumId w:val="0"/>
  </w:num>
  <w:num w:numId="31">
    <w:abstractNumId w:val="18"/>
  </w:num>
  <w:num w:numId="32">
    <w:abstractNumId w:val="33"/>
  </w:num>
  <w:num w:numId="33">
    <w:abstractNumId w:val="2"/>
  </w:num>
  <w:num w:numId="34">
    <w:abstractNumId w:val="13"/>
  </w:num>
  <w:num w:numId="35">
    <w:abstractNumId w:val="7"/>
  </w:num>
  <w:num w:numId="36">
    <w:abstractNumId w:val="27"/>
  </w:num>
  <w:num w:numId="37">
    <w:abstractNumId w:val="14"/>
  </w:num>
  <w:num w:numId="38">
    <w:abstractNumId w:val="25"/>
  </w:num>
  <w:num w:numId="39">
    <w:abstractNumId w:val="3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45F2"/>
    <w:rsid w:val="002A5216"/>
    <w:rsid w:val="002A6839"/>
    <w:rsid w:val="002A7260"/>
    <w:rsid w:val="002A76B2"/>
    <w:rsid w:val="002B1ABB"/>
    <w:rsid w:val="002B5133"/>
    <w:rsid w:val="002C42B7"/>
    <w:rsid w:val="002C6E24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0B19"/>
    <w:rsid w:val="007369A9"/>
    <w:rsid w:val="007407C9"/>
    <w:rsid w:val="00740869"/>
    <w:rsid w:val="00761602"/>
    <w:rsid w:val="00765C55"/>
    <w:rsid w:val="00772A17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0995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04C8A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103C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BF7B16"/>
    <w:rsid w:val="00C01354"/>
    <w:rsid w:val="00C102B7"/>
    <w:rsid w:val="00C128BA"/>
    <w:rsid w:val="00C12A9F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48F0"/>
    <w:rsid w:val="00D05661"/>
    <w:rsid w:val="00D05C78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1230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Marcio - Brasken AL</cp:lastModifiedBy>
  <cp:revision>29</cp:revision>
  <cp:lastPrinted>2025-03-05T19:56:00Z</cp:lastPrinted>
  <dcterms:created xsi:type="dcterms:W3CDTF">2024-12-02T17:43:00Z</dcterms:created>
  <dcterms:modified xsi:type="dcterms:W3CDTF">2025-03-05T19:56:00Z</dcterms:modified>
</cp:coreProperties>
</file>